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B777AD"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附件：</w:t>
      </w:r>
    </w:p>
    <w:p w14:paraId="13056C4F">
      <w:pPr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现行国家标准《生丝》中导致外观降级的疵点为：霉丝、丝把硬化、粘条、附着物&lt;黑点&gt;、污染丝、纤度混杂、水渍、颜色不整齐、夹花、白斑、绞重不匀、双丝、重片丝、切丝、飞入毛丝、凌乱丝、宽紧丝、缩丝、留绪、编丝、绞把不良。</w:t>
      </w:r>
      <w:bookmarkStart w:id="0" w:name="_GoBack"/>
      <w:bookmarkEnd w:id="0"/>
    </w:p>
    <w:p w14:paraId="2B34724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lODIzY2IyYTY1MGZiMTY5MmRmNTVlNTU4YzJhMDIifQ=="/>
  </w:docVars>
  <w:rsids>
    <w:rsidRoot w:val="0A292183"/>
    <w:rsid w:val="0A292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2024-07-01T09:11:00Z</dcterms:created>
  <dc:creator>笑颜温柔。</dc:creator>
  <cp:lastModifiedBy>笑颜温柔。</cp:lastModifiedBy>
  <dcterms:modified xsi:type="dcterms:W3CDTF">2024-07-01T09:11:43Z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2AA59104ABE34BFA8019E8DC1E175A0F_11</vt:lpwstr>
  </property>
</Properties>
</file>